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087AEE9" w14:textId="77777777" w:rsidR="00E906CD" w:rsidRPr="00E906CD" w:rsidRDefault="00E906CD" w:rsidP="00E906CD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06CD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5DD290C1" w:rsidR="00C5658A" w:rsidRPr="00770E00" w:rsidRDefault="00E906CD" w:rsidP="00AC47B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906CD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AC47B6">
              <w:rPr>
                <w:rFonts w:ascii="Arial" w:hAnsi="Arial" w:cs="Arial"/>
                <w:b/>
                <w:bCs/>
                <w:sz w:val="22"/>
                <w:szCs w:val="22"/>
              </w:rPr>
              <w:t>7 – vyšetřovací stůl elektrický</w:t>
            </w:r>
            <w:r w:rsidRPr="00E906CD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1559FC87" w:rsidR="00F04FCB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38398250" w14:textId="77777777" w:rsidR="00F04FCB" w:rsidRDefault="00F04FCB">
      <w:p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br w:type="page"/>
      </w:r>
    </w:p>
    <w:p w14:paraId="44EAF9C7" w14:textId="77777777" w:rsidR="00F04FCB" w:rsidRDefault="00F04FCB" w:rsidP="00F04FCB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057D1526" w14:textId="77777777" w:rsidR="00F04FCB" w:rsidRDefault="00F04FCB" w:rsidP="00F04FCB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2AA0FBB8" w14:textId="77777777" w:rsidR="00F04FCB" w:rsidRPr="00B55ABB" w:rsidRDefault="00F04FCB" w:rsidP="00F04FCB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7CE57C0F" w14:textId="77777777" w:rsidR="00F04FCB" w:rsidRPr="00B55ABB" w:rsidRDefault="00F04FCB" w:rsidP="00F04FC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0AD550D3" w14:textId="77777777" w:rsidR="00F04FCB" w:rsidRPr="00B55ABB" w:rsidRDefault="00F04FCB" w:rsidP="00F04FCB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348A6E6B" w14:textId="77777777" w:rsidR="00F04FCB" w:rsidRPr="00B55ABB" w:rsidRDefault="00F04FCB" w:rsidP="00F04FC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3DBAC873" w14:textId="77777777" w:rsidR="00F04FCB" w:rsidRPr="00B55ABB" w:rsidRDefault="00F04FCB" w:rsidP="00F04FC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41A8CBDA" w14:textId="77777777" w:rsidR="00F04FCB" w:rsidRPr="00B55ABB" w:rsidRDefault="00F04FCB" w:rsidP="00F04FCB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1D77BB52" w14:textId="77777777" w:rsidR="00306A6D" w:rsidRPr="00770E00" w:rsidRDefault="00306A6D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bookmarkStart w:id="1" w:name="_GoBack"/>
      <w:bookmarkEnd w:id="1"/>
    </w:p>
    <w:p w14:paraId="53E94621" w14:textId="7CFB12C2" w:rsidR="005D7FF5" w:rsidRPr="00770E00" w:rsidRDefault="00306A6D" w:rsidP="00770E00">
      <w:pPr>
        <w:rPr>
          <w:rFonts w:ascii="Arial" w:eastAsia="Calibri" w:hAnsi="Arial" w:cs="Arial"/>
        </w:rPr>
      </w:pPr>
      <w:r w:rsidRPr="00770E00"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7E7302FB" w14:textId="77777777" w:rsidR="00180C75" w:rsidRDefault="00180C75" w:rsidP="00180C75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1D4647E1" w14:textId="77777777" w:rsidR="00180C75" w:rsidRDefault="00180C75" w:rsidP="00180C75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04C115EE" w14:textId="77777777" w:rsidR="00180C75" w:rsidRPr="00770E00" w:rsidRDefault="00180C75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180C75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1D704" w14:textId="77777777" w:rsidR="00DC0E52" w:rsidRDefault="00DC0E52" w:rsidP="002002D1">
      <w:pPr>
        <w:spacing w:after="0" w:line="240" w:lineRule="auto"/>
      </w:pPr>
      <w:r>
        <w:separator/>
      </w:r>
    </w:p>
  </w:endnote>
  <w:endnote w:type="continuationSeparator" w:id="0">
    <w:p w14:paraId="4EB5CC4A" w14:textId="77777777" w:rsidR="00DC0E52" w:rsidRDefault="00DC0E52" w:rsidP="002002D1">
      <w:pPr>
        <w:spacing w:after="0" w:line="240" w:lineRule="auto"/>
      </w:pPr>
      <w:r>
        <w:continuationSeparator/>
      </w:r>
    </w:p>
  </w:endnote>
  <w:endnote w:type="continuationNotice" w:id="1">
    <w:p w14:paraId="397A9F61" w14:textId="77777777" w:rsidR="00DC0E52" w:rsidRDefault="00DC0E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3A72860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F04FCB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C29963" w14:textId="77777777" w:rsidR="00DC0E52" w:rsidRDefault="00DC0E52" w:rsidP="002002D1">
      <w:pPr>
        <w:spacing w:after="0" w:line="240" w:lineRule="auto"/>
      </w:pPr>
      <w:r>
        <w:separator/>
      </w:r>
    </w:p>
  </w:footnote>
  <w:footnote w:type="continuationSeparator" w:id="0">
    <w:p w14:paraId="3AAC8CCD" w14:textId="77777777" w:rsidR="00DC0E52" w:rsidRDefault="00DC0E52" w:rsidP="002002D1">
      <w:pPr>
        <w:spacing w:after="0" w:line="240" w:lineRule="auto"/>
      </w:pPr>
      <w:r>
        <w:continuationSeparator/>
      </w:r>
    </w:p>
  </w:footnote>
  <w:footnote w:type="continuationNotice" w:id="1">
    <w:p w14:paraId="5AA56247" w14:textId="77777777" w:rsidR="00DC0E52" w:rsidRDefault="00DC0E52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13E1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80C75"/>
    <w:rsid w:val="001923B4"/>
    <w:rsid w:val="001A0B02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7007B"/>
    <w:rsid w:val="00375ED8"/>
    <w:rsid w:val="0038267D"/>
    <w:rsid w:val="003B6A5F"/>
    <w:rsid w:val="003E0C35"/>
    <w:rsid w:val="003E7228"/>
    <w:rsid w:val="003E7458"/>
    <w:rsid w:val="003F42D8"/>
    <w:rsid w:val="00405C94"/>
    <w:rsid w:val="00420897"/>
    <w:rsid w:val="0042601D"/>
    <w:rsid w:val="00431805"/>
    <w:rsid w:val="0044001A"/>
    <w:rsid w:val="00440812"/>
    <w:rsid w:val="004413C3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612869"/>
    <w:rsid w:val="00636E68"/>
    <w:rsid w:val="00640F13"/>
    <w:rsid w:val="00647F39"/>
    <w:rsid w:val="0066739E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1647C"/>
    <w:rsid w:val="008409B9"/>
    <w:rsid w:val="00865408"/>
    <w:rsid w:val="00866080"/>
    <w:rsid w:val="008A7162"/>
    <w:rsid w:val="008B05D1"/>
    <w:rsid w:val="008D47D4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91F1E"/>
    <w:rsid w:val="00AA4DD7"/>
    <w:rsid w:val="00AA5718"/>
    <w:rsid w:val="00AC2380"/>
    <w:rsid w:val="00AC47B6"/>
    <w:rsid w:val="00AF4BFB"/>
    <w:rsid w:val="00AF616A"/>
    <w:rsid w:val="00B06759"/>
    <w:rsid w:val="00B276B0"/>
    <w:rsid w:val="00B33DD3"/>
    <w:rsid w:val="00B37081"/>
    <w:rsid w:val="00B40A5C"/>
    <w:rsid w:val="00B55945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381C"/>
    <w:rsid w:val="00CB5F85"/>
    <w:rsid w:val="00CB6A93"/>
    <w:rsid w:val="00CC29FD"/>
    <w:rsid w:val="00CC2EA5"/>
    <w:rsid w:val="00CD5C93"/>
    <w:rsid w:val="00CE772A"/>
    <w:rsid w:val="00D14ECC"/>
    <w:rsid w:val="00D445C9"/>
    <w:rsid w:val="00D55238"/>
    <w:rsid w:val="00D6292C"/>
    <w:rsid w:val="00D66BAF"/>
    <w:rsid w:val="00D71F57"/>
    <w:rsid w:val="00D759FB"/>
    <w:rsid w:val="00D822AB"/>
    <w:rsid w:val="00DC0E52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06CD"/>
    <w:rsid w:val="00E955A2"/>
    <w:rsid w:val="00EB27FA"/>
    <w:rsid w:val="00EB2BDF"/>
    <w:rsid w:val="00EB56D2"/>
    <w:rsid w:val="00EB61B6"/>
    <w:rsid w:val="00EC77F4"/>
    <w:rsid w:val="00EC7B20"/>
    <w:rsid w:val="00ED76F2"/>
    <w:rsid w:val="00EF71BA"/>
    <w:rsid w:val="00F0477C"/>
    <w:rsid w:val="00F04FCB"/>
    <w:rsid w:val="00F10CE5"/>
    <w:rsid w:val="00F150E9"/>
    <w:rsid w:val="00F15DC2"/>
    <w:rsid w:val="00F1732D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Props1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7</Pages>
  <Words>1447</Words>
  <Characters>8539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7</cp:revision>
  <dcterms:created xsi:type="dcterms:W3CDTF">2023-05-09T10:04:00Z</dcterms:created>
  <dcterms:modified xsi:type="dcterms:W3CDTF">2023-05-15T10:12:00Z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